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07B60" w14:textId="75C36809" w:rsidR="002049D0" w:rsidRPr="00866F2B" w:rsidRDefault="002049D0" w:rsidP="002049D0">
      <w:pPr>
        <w:keepNext/>
        <w:keepLines/>
        <w:spacing w:before="240" w:after="240"/>
        <w:jc w:val="center"/>
        <w:outlineLvl w:val="0"/>
        <w:rPr>
          <w:rFonts w:ascii="Times New Roman" w:eastAsia="Yu Gothic Light" w:hAnsi="Times New Roman" w:cs="Times New Roman"/>
          <w:b/>
          <w:bCs/>
          <w:smallCaps/>
          <w:color w:val="2E74B5"/>
          <w:kern w:val="0"/>
          <w:sz w:val="24"/>
          <w:szCs w:val="24"/>
          <w14:ligatures w14:val="none"/>
        </w:rPr>
      </w:pPr>
      <w:r w:rsidRPr="00866F2B">
        <w:rPr>
          <w:rFonts w:ascii="Times New Roman" w:eastAsia="Yu Gothic Light" w:hAnsi="Times New Roman" w:cs="Times New Roman"/>
          <w:b/>
          <w:bCs/>
          <w:kern w:val="0"/>
          <w:sz w:val="24"/>
          <w:szCs w:val="24"/>
          <w14:ligatures w14:val="none"/>
        </w:rPr>
        <w:t>PASIŪLYMŲ VERTINIMO KRITERIJAI IR SĄLYGOS</w:t>
      </w:r>
    </w:p>
    <w:p w14:paraId="2492C58B" w14:textId="7862F79D" w:rsidR="004274AA" w:rsidRPr="00E4114A" w:rsidRDefault="00AD47F0" w:rsidP="00EA1F43">
      <w:pPr>
        <w:pStyle w:val="ListParagraph"/>
        <w:tabs>
          <w:tab w:val="left" w:pos="284"/>
          <w:tab w:val="left" w:pos="567"/>
        </w:tabs>
        <w:spacing w:line="240" w:lineRule="auto"/>
        <w:ind w:left="0"/>
        <w:jc w:val="both"/>
        <w:rPr>
          <w:rFonts w:ascii="Times New Roman" w:hAnsi="Times New Roman" w:cs="Times New Roman"/>
          <w:bCs/>
          <w:sz w:val="24"/>
          <w:szCs w:val="24"/>
          <w:lang w:eastAsia="zh-CN"/>
        </w:rPr>
      </w:pPr>
      <w:r w:rsidRPr="00866F2B">
        <w:rPr>
          <w:rFonts w:ascii="Times New Roman" w:hAnsi="Times New Roman" w:cs="Times New Roman"/>
          <w:bCs/>
          <w:sz w:val="24"/>
          <w:szCs w:val="24"/>
          <w:lang w:eastAsia="zh-CN"/>
        </w:rPr>
        <w:tab/>
      </w:r>
      <w:r w:rsidRPr="00866F2B">
        <w:rPr>
          <w:rFonts w:ascii="Times New Roman" w:hAnsi="Times New Roman" w:cs="Times New Roman"/>
          <w:bCs/>
          <w:sz w:val="24"/>
          <w:szCs w:val="24"/>
          <w:lang w:eastAsia="zh-CN"/>
        </w:rPr>
        <w:tab/>
      </w:r>
      <w:r w:rsidR="004274AA" w:rsidRPr="00866F2B">
        <w:rPr>
          <w:rFonts w:ascii="Times New Roman" w:hAnsi="Times New Roman" w:cs="Times New Roman"/>
          <w:bCs/>
          <w:sz w:val="24"/>
          <w:szCs w:val="24"/>
          <w:lang w:eastAsia="zh-CN"/>
        </w:rPr>
        <w:t xml:space="preserve">Ekonomiškai naudingiausias pasiūlymas išrenkamas pagal kainos ir kokybės santykį. Pirkimo sutartis bus sudaroma su dalyviu, pateikusiu Perkančiajai organizacijai ekonomiškai naudingiausią pasiūlymą, išrinktą pagal jos nustatytus kriterijus. Ekonominis naudingumas apskaičiuojamas vadovaujantis pirkimo dokumentuose pateikta Viešųjų pirkimų tarnybos parengta ir perkančiosios organizacijos pagal pirkimo dokumentus dalinai užpildyta skaičiuokle (formulė – Telgen (absoliutinė)) (Pridedama atskirame dokumente </w:t>
      </w:r>
      <w:r w:rsidRPr="00E4114A">
        <w:rPr>
          <w:rFonts w:ascii="Times New Roman" w:hAnsi="Times New Roman" w:cs="Times New Roman"/>
          <w:bCs/>
          <w:sz w:val="24"/>
          <w:szCs w:val="24"/>
          <w:lang w:eastAsia="zh-CN"/>
        </w:rPr>
        <w:t>priedas. Kokybės kriterijų vertinimo skaičiuoklė</w:t>
      </w:r>
      <w:r w:rsidR="004274AA" w:rsidRPr="00E4114A">
        <w:rPr>
          <w:rFonts w:ascii="Times New Roman" w:hAnsi="Times New Roman" w:cs="Times New Roman"/>
          <w:bCs/>
          <w:sz w:val="24"/>
          <w:szCs w:val="24"/>
          <w:lang w:eastAsia="zh-CN"/>
        </w:rPr>
        <w:t>).</w:t>
      </w:r>
    </w:p>
    <w:p w14:paraId="4936A02A" w14:textId="77777777" w:rsidR="00BC397B" w:rsidRPr="00866F2B" w:rsidRDefault="00AD47F0" w:rsidP="00866F2B">
      <w:pPr>
        <w:tabs>
          <w:tab w:val="left" w:pos="567"/>
          <w:tab w:val="left" w:pos="1276"/>
        </w:tabs>
        <w:spacing w:line="240" w:lineRule="auto"/>
        <w:jc w:val="both"/>
        <w:rPr>
          <w:rFonts w:ascii="Times New Roman" w:hAnsi="Times New Roman" w:cs="Times New Roman"/>
          <w:bCs/>
          <w:sz w:val="24"/>
          <w:szCs w:val="24"/>
          <w:lang w:eastAsia="zh-CN"/>
        </w:rPr>
      </w:pPr>
      <w:r w:rsidRPr="00866F2B">
        <w:rPr>
          <w:rFonts w:ascii="Times New Roman" w:hAnsi="Times New Roman" w:cs="Times New Roman"/>
          <w:bCs/>
          <w:sz w:val="24"/>
          <w:szCs w:val="24"/>
          <w:lang w:eastAsia="zh-CN"/>
        </w:rPr>
        <w:tab/>
      </w:r>
      <w:r w:rsidR="00B955D8" w:rsidRPr="00866F2B">
        <w:rPr>
          <w:rFonts w:ascii="Times New Roman" w:hAnsi="Times New Roman" w:cs="Times New Roman"/>
          <w:bCs/>
          <w:sz w:val="24"/>
          <w:szCs w:val="24"/>
          <w:lang w:eastAsia="zh-CN"/>
        </w:rPr>
        <w:t xml:space="preserve">Pagal šią formulę laimėtoju pripažįstamas pasiūlymas, surinkęs didžiausią balų skaičių. Jeigu pasiūlyta kaina lygi PSetMax, tuomet pasiūlymui už kainą suteikiama 0 balų, o pasiūlymams, kurių kaina artėja link PSetMin, atitinkamai suteikiamas vis didesnis teigiamas balų skaičius. </w:t>
      </w:r>
    </w:p>
    <w:p w14:paraId="427E325E" w14:textId="209A932C" w:rsidR="00C851A0" w:rsidRDefault="00BC397B" w:rsidP="00866F2B">
      <w:pPr>
        <w:tabs>
          <w:tab w:val="left" w:pos="567"/>
          <w:tab w:val="left" w:pos="1276"/>
        </w:tabs>
        <w:spacing w:line="240" w:lineRule="auto"/>
        <w:jc w:val="both"/>
        <w:rPr>
          <w:rFonts w:ascii="Times New Roman" w:hAnsi="Times New Roman" w:cs="Times New Roman"/>
          <w:bCs/>
          <w:sz w:val="24"/>
          <w:szCs w:val="24"/>
          <w:lang w:eastAsia="zh-CN"/>
        </w:rPr>
      </w:pPr>
      <w:r w:rsidRPr="00866F2B">
        <w:rPr>
          <w:rFonts w:ascii="Times New Roman" w:hAnsi="Times New Roman" w:cs="Times New Roman"/>
          <w:bCs/>
          <w:sz w:val="24"/>
          <w:szCs w:val="24"/>
          <w:lang w:eastAsia="zh-CN"/>
        </w:rPr>
        <w:tab/>
      </w:r>
      <w:r w:rsidRPr="00BC397B">
        <w:rPr>
          <w:rFonts w:ascii="Times New Roman" w:hAnsi="Times New Roman" w:cs="Times New Roman"/>
          <w:bCs/>
          <w:sz w:val="24"/>
          <w:szCs w:val="24"/>
          <w:lang w:eastAsia="zh-CN"/>
        </w:rPr>
        <w:t>Pasiūlymams, kurie viršys PSetMax, bus suteikiami neigiami balai</w:t>
      </w:r>
      <w:r w:rsidR="006A1C9C">
        <w:rPr>
          <w:rFonts w:ascii="Times New Roman" w:hAnsi="Times New Roman" w:cs="Times New Roman"/>
          <w:bCs/>
          <w:sz w:val="24"/>
          <w:szCs w:val="24"/>
          <w:lang w:eastAsia="zh-CN"/>
        </w:rPr>
        <w:t>.</w:t>
      </w:r>
      <w:r w:rsidRPr="00BC397B">
        <w:rPr>
          <w:rFonts w:ascii="Times New Roman" w:hAnsi="Times New Roman" w:cs="Times New Roman"/>
          <w:bCs/>
          <w:sz w:val="24"/>
          <w:szCs w:val="24"/>
          <w:lang w:eastAsia="zh-CN"/>
        </w:rPr>
        <w:t xml:space="preserve"> </w:t>
      </w:r>
    </w:p>
    <w:p w14:paraId="0AEE98FD" w14:textId="77777777" w:rsidR="00280397" w:rsidRDefault="00BC397B" w:rsidP="00280397">
      <w:pPr>
        <w:tabs>
          <w:tab w:val="left" w:pos="567"/>
          <w:tab w:val="left" w:pos="1276"/>
        </w:tabs>
        <w:spacing w:line="240" w:lineRule="auto"/>
        <w:jc w:val="both"/>
        <w:rPr>
          <w:rFonts w:ascii="Times New Roman" w:hAnsi="Times New Roman" w:cs="Times New Roman"/>
          <w:bCs/>
          <w:sz w:val="24"/>
          <w:szCs w:val="24"/>
          <w:lang w:eastAsia="zh-CN"/>
        </w:rPr>
      </w:pPr>
      <w:r w:rsidRPr="00BC397B">
        <w:rPr>
          <w:rFonts w:ascii="Times New Roman" w:hAnsi="Times New Roman" w:cs="Times New Roman"/>
          <w:bCs/>
          <w:sz w:val="24"/>
          <w:szCs w:val="24"/>
          <w:lang w:eastAsia="zh-CN"/>
        </w:rPr>
        <w:t>Perkančioji organizacija nustato, kad PsetMin lygi 0 E</w:t>
      </w:r>
      <w:r w:rsidR="00C851A0" w:rsidRPr="00866F2B">
        <w:rPr>
          <w:rFonts w:ascii="Times New Roman" w:hAnsi="Times New Roman" w:cs="Times New Roman"/>
          <w:bCs/>
          <w:sz w:val="24"/>
          <w:szCs w:val="24"/>
          <w:lang w:eastAsia="zh-CN"/>
        </w:rPr>
        <w:t>ur su PVM</w:t>
      </w:r>
      <w:r w:rsidRPr="00BC397B">
        <w:rPr>
          <w:rFonts w:ascii="Times New Roman" w:hAnsi="Times New Roman" w:cs="Times New Roman"/>
          <w:bCs/>
          <w:sz w:val="24"/>
          <w:szCs w:val="24"/>
          <w:lang w:eastAsia="zh-CN"/>
        </w:rPr>
        <w:t xml:space="preserve">, PsetMax lygi </w:t>
      </w:r>
      <w:r w:rsidR="00D93391" w:rsidRPr="00866F2B">
        <w:rPr>
          <w:rFonts w:ascii="Times New Roman" w:hAnsi="Times New Roman" w:cs="Times New Roman"/>
          <w:bCs/>
          <w:sz w:val="24"/>
          <w:szCs w:val="24"/>
          <w:lang w:eastAsia="zh-CN"/>
        </w:rPr>
        <w:t>321 860,00</w:t>
      </w:r>
      <w:r w:rsidRPr="00BC397B">
        <w:rPr>
          <w:rFonts w:ascii="Times New Roman" w:hAnsi="Times New Roman" w:cs="Times New Roman"/>
          <w:bCs/>
          <w:sz w:val="24"/>
          <w:szCs w:val="24"/>
          <w:lang w:eastAsia="zh-CN"/>
        </w:rPr>
        <w:t xml:space="preserve"> Eur su PVM</w:t>
      </w:r>
      <w:r w:rsidR="00D93391" w:rsidRPr="00866F2B">
        <w:rPr>
          <w:rFonts w:ascii="Times New Roman" w:hAnsi="Times New Roman" w:cs="Times New Roman"/>
          <w:bCs/>
          <w:sz w:val="24"/>
          <w:szCs w:val="24"/>
          <w:lang w:eastAsia="zh-CN"/>
        </w:rPr>
        <w:t xml:space="preserve"> (t.y. šio pirkimo biudžetas)</w:t>
      </w:r>
      <w:r w:rsidRPr="00BC397B">
        <w:rPr>
          <w:rFonts w:ascii="Times New Roman" w:hAnsi="Times New Roman" w:cs="Times New Roman"/>
          <w:bCs/>
          <w:sz w:val="24"/>
          <w:szCs w:val="24"/>
          <w:lang w:eastAsia="zh-CN"/>
        </w:rPr>
        <w:t>.</w:t>
      </w:r>
      <w:r w:rsidR="00280397" w:rsidRPr="00280397">
        <w:rPr>
          <w:rFonts w:ascii="Times New Roman" w:hAnsi="Times New Roman" w:cs="Times New Roman"/>
          <w:bCs/>
          <w:sz w:val="24"/>
          <w:szCs w:val="24"/>
          <w:lang w:eastAsia="zh-CN"/>
        </w:rPr>
        <w:t xml:space="preserve"> </w:t>
      </w:r>
    </w:p>
    <w:p w14:paraId="7E77A26C" w14:textId="655C59C9" w:rsidR="00280397" w:rsidRPr="00866F2B" w:rsidRDefault="00280397" w:rsidP="00280397">
      <w:pPr>
        <w:tabs>
          <w:tab w:val="left" w:pos="567"/>
          <w:tab w:val="left" w:pos="1276"/>
        </w:tabs>
        <w:spacing w:line="240" w:lineRule="auto"/>
        <w:jc w:val="both"/>
        <w:rPr>
          <w:rFonts w:ascii="Times New Roman" w:hAnsi="Times New Roman" w:cs="Times New Roman"/>
          <w:bCs/>
          <w:sz w:val="24"/>
          <w:szCs w:val="24"/>
          <w:lang w:eastAsia="zh-CN"/>
        </w:rPr>
      </w:pPr>
      <w:r>
        <w:rPr>
          <w:rFonts w:ascii="Times New Roman" w:hAnsi="Times New Roman" w:cs="Times New Roman"/>
          <w:bCs/>
          <w:sz w:val="24"/>
          <w:szCs w:val="24"/>
          <w:lang w:eastAsia="zh-CN"/>
        </w:rPr>
        <w:t>Tiekėjų n</w:t>
      </w:r>
      <w:r w:rsidRPr="00280397">
        <w:rPr>
          <w:rFonts w:ascii="Times New Roman" w:hAnsi="Times New Roman" w:cs="Times New Roman"/>
          <w:bCs/>
          <w:sz w:val="24"/>
          <w:szCs w:val="24"/>
          <w:lang w:eastAsia="zh-CN"/>
        </w:rPr>
        <w:t>urodytos vertės naudojamos pasiūlymų vertinimo tikslais.</w:t>
      </w:r>
    </w:p>
    <w:p w14:paraId="78B1F9BC" w14:textId="4E9F15F3" w:rsidR="00BC397B" w:rsidRPr="00BC397B" w:rsidRDefault="00BC397B" w:rsidP="00866F2B">
      <w:pPr>
        <w:tabs>
          <w:tab w:val="left" w:pos="567"/>
          <w:tab w:val="left" w:pos="1276"/>
        </w:tabs>
        <w:spacing w:line="240" w:lineRule="auto"/>
        <w:jc w:val="both"/>
        <w:rPr>
          <w:rFonts w:ascii="Times New Roman" w:hAnsi="Times New Roman" w:cs="Times New Roman"/>
          <w:bCs/>
          <w:sz w:val="24"/>
          <w:szCs w:val="24"/>
          <w:lang w:eastAsia="zh-CN"/>
        </w:rPr>
      </w:pPr>
    </w:p>
    <w:p w14:paraId="1EA369B3" w14:textId="7E1ABFA8" w:rsidR="00866F2B" w:rsidRPr="00AE7701" w:rsidRDefault="002049D0" w:rsidP="00866F2B">
      <w:pPr>
        <w:tabs>
          <w:tab w:val="left" w:pos="567"/>
          <w:tab w:val="left" w:pos="1276"/>
        </w:tabs>
        <w:spacing w:line="240" w:lineRule="auto"/>
        <w:jc w:val="both"/>
        <w:rPr>
          <w:rFonts w:ascii="Times New Roman" w:eastAsia="Calibri" w:hAnsi="Times New Roman" w:cs="Times New Roman"/>
          <w:b/>
          <w:bCs/>
          <w:kern w:val="0"/>
          <w:sz w:val="24"/>
          <w:szCs w:val="24"/>
          <w14:ligatures w14:val="none"/>
        </w:rPr>
      </w:pPr>
      <w:r w:rsidRPr="00AE7701">
        <w:rPr>
          <w:rFonts w:ascii="Times New Roman" w:eastAsia="Calibri" w:hAnsi="Times New Roman" w:cs="Times New Roman"/>
          <w:b/>
          <w:bCs/>
          <w:kern w:val="0"/>
          <w:sz w:val="24"/>
          <w:szCs w:val="24"/>
          <w14:ligatures w14:val="none"/>
        </w:rPr>
        <w:t xml:space="preserve">Pasiūlymų vertinimo kriterijai: </w:t>
      </w:r>
    </w:p>
    <w:tbl>
      <w:tblPr>
        <w:tblpPr w:leftFromText="180" w:rightFromText="180" w:vertAnchor="text" w:tblpX="-185"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0"/>
        <w:gridCol w:w="1629"/>
        <w:gridCol w:w="2759"/>
      </w:tblGrid>
      <w:tr w:rsidR="00866F2B" w:rsidRPr="00866F2B" w14:paraId="3F59C107" w14:textId="77777777" w:rsidTr="006D5CD1">
        <w:trPr>
          <w:cantSplit/>
          <w:trHeight w:val="673"/>
        </w:trPr>
        <w:tc>
          <w:tcPr>
            <w:tcW w:w="2721" w:type="pct"/>
            <w:shd w:val="clear" w:color="auto" w:fill="D9D9D9" w:themeFill="background1" w:themeFillShade="D9"/>
            <w:vAlign w:val="center"/>
          </w:tcPr>
          <w:p w14:paraId="462082CA" w14:textId="77777777" w:rsidR="00866F2B" w:rsidRPr="006D5CD1" w:rsidRDefault="00866F2B" w:rsidP="00EF63CC">
            <w:pPr>
              <w:widowControl w:val="0"/>
              <w:tabs>
                <w:tab w:val="left" w:pos="851"/>
              </w:tabs>
              <w:spacing w:line="240" w:lineRule="auto"/>
              <w:jc w:val="center"/>
              <w:rPr>
                <w:rFonts w:ascii="Times New Roman" w:eastAsia="Times New Roman" w:hAnsi="Times New Roman" w:cs="Times New Roman"/>
                <w:b/>
                <w:bCs/>
              </w:rPr>
            </w:pPr>
            <w:r w:rsidRPr="006D5CD1">
              <w:rPr>
                <w:rFonts w:ascii="Times New Roman" w:eastAsia="Times New Roman" w:hAnsi="Times New Roman" w:cs="Times New Roman"/>
                <w:b/>
                <w:bCs/>
              </w:rPr>
              <w:t>VERTINIMO KRITERIJAI</w:t>
            </w:r>
          </w:p>
        </w:tc>
        <w:tc>
          <w:tcPr>
            <w:tcW w:w="846" w:type="pct"/>
            <w:shd w:val="clear" w:color="auto" w:fill="D9D9D9" w:themeFill="background1" w:themeFillShade="D9"/>
          </w:tcPr>
          <w:p w14:paraId="68466A14" w14:textId="77777777" w:rsidR="00866F2B" w:rsidRPr="006D5CD1" w:rsidRDefault="00866F2B" w:rsidP="00EF63CC">
            <w:pPr>
              <w:widowControl w:val="0"/>
              <w:tabs>
                <w:tab w:val="left" w:pos="851"/>
              </w:tabs>
              <w:spacing w:line="240" w:lineRule="auto"/>
              <w:ind w:right="-108"/>
              <w:jc w:val="center"/>
              <w:rPr>
                <w:rFonts w:ascii="Times New Roman" w:hAnsi="Times New Roman" w:cs="Times New Roman"/>
                <w:b/>
                <w:bCs/>
              </w:rPr>
            </w:pPr>
            <w:r w:rsidRPr="006D5CD1">
              <w:rPr>
                <w:rFonts w:ascii="Times New Roman" w:eastAsia="Times New Roman" w:hAnsi="Times New Roman" w:cs="Times New Roman"/>
                <w:b/>
                <w:bCs/>
              </w:rPr>
              <w:t>Lyginamasis svoris ekonominio naudingumo įvertinime</w:t>
            </w:r>
          </w:p>
        </w:tc>
        <w:tc>
          <w:tcPr>
            <w:tcW w:w="1433" w:type="pct"/>
            <w:shd w:val="clear" w:color="auto" w:fill="D9D9D9" w:themeFill="background1" w:themeFillShade="D9"/>
            <w:vAlign w:val="center"/>
          </w:tcPr>
          <w:p w14:paraId="70607447" w14:textId="77777777" w:rsidR="00866F2B" w:rsidRPr="006D5CD1" w:rsidRDefault="00866F2B" w:rsidP="00EF63CC">
            <w:pPr>
              <w:widowControl w:val="0"/>
              <w:tabs>
                <w:tab w:val="left" w:pos="851"/>
              </w:tabs>
              <w:spacing w:line="240" w:lineRule="auto"/>
              <w:ind w:right="-9"/>
              <w:jc w:val="center"/>
              <w:rPr>
                <w:rFonts w:ascii="Times New Roman" w:eastAsia="Times New Roman" w:hAnsi="Times New Roman" w:cs="Times New Roman"/>
                <w:b/>
                <w:bCs/>
                <w:i/>
                <w:iCs/>
              </w:rPr>
            </w:pPr>
            <w:r w:rsidRPr="006D5CD1">
              <w:rPr>
                <w:rFonts w:ascii="Times New Roman" w:hAnsi="Times New Roman" w:cs="Times New Roman"/>
                <w:b/>
                <w:bCs/>
              </w:rPr>
              <w:t>Kriterijų vertinimas</w:t>
            </w:r>
          </w:p>
        </w:tc>
      </w:tr>
      <w:tr w:rsidR="00866F2B" w:rsidRPr="00866F2B" w14:paraId="7DA851C8" w14:textId="77777777" w:rsidTr="006D5CD1">
        <w:trPr>
          <w:cantSplit/>
          <w:trHeight w:val="209"/>
        </w:trPr>
        <w:tc>
          <w:tcPr>
            <w:tcW w:w="2721" w:type="pct"/>
          </w:tcPr>
          <w:p w14:paraId="714EFF7C" w14:textId="77777777" w:rsidR="00866F2B" w:rsidRPr="006D5CD1" w:rsidRDefault="00866F2B" w:rsidP="006D5CD1">
            <w:pPr>
              <w:spacing w:line="240" w:lineRule="auto"/>
              <w:jc w:val="both"/>
              <w:rPr>
                <w:rFonts w:ascii="Times New Roman" w:hAnsi="Times New Roman" w:cs="Times New Roman"/>
              </w:rPr>
            </w:pPr>
            <w:r w:rsidRPr="003C56BB">
              <w:rPr>
                <w:rFonts w:ascii="Times New Roman" w:hAnsi="Times New Roman" w:cs="Times New Roman"/>
                <w:b/>
                <w:bCs/>
              </w:rPr>
              <w:t>1.</w:t>
            </w:r>
            <w:r w:rsidRPr="006D5CD1">
              <w:rPr>
                <w:rFonts w:ascii="Times New Roman" w:hAnsi="Times New Roman" w:cs="Times New Roman"/>
                <w:b/>
                <w:bCs/>
              </w:rPr>
              <w:t xml:space="preserve"> </w:t>
            </w:r>
            <w:r w:rsidRPr="006D5CD1">
              <w:rPr>
                <w:rFonts w:ascii="Times New Roman" w:hAnsi="Times New Roman" w:cs="Times New Roman"/>
                <w:b/>
                <w:bCs/>
                <w:noProof/>
              </w:rPr>
              <w:t>Pirmas</w:t>
            </w:r>
            <w:r w:rsidRPr="006D5CD1">
              <w:rPr>
                <w:rFonts w:ascii="Times New Roman" w:hAnsi="Times New Roman" w:cs="Times New Roman"/>
                <w:b/>
                <w:bCs/>
              </w:rPr>
              <w:t xml:space="preserve"> kriterijus - pasiūlymo kaina</w:t>
            </w:r>
            <w:r w:rsidRPr="006D5CD1">
              <w:rPr>
                <w:rFonts w:ascii="Times New Roman" w:hAnsi="Times New Roman" w:cs="Times New Roman"/>
              </w:rPr>
              <w:t xml:space="preserve"> (kaina, nurodyta pasiūlymo kainos lentelėje</w:t>
            </w:r>
            <w:r w:rsidRPr="006D5CD1">
              <w:rPr>
                <w:rFonts w:ascii="Times New Roman" w:hAnsi="Times New Roman" w:cs="Times New Roman"/>
                <w:b/>
                <w:bCs/>
              </w:rPr>
              <w:t xml:space="preserve"> (kaina)</w:t>
            </w:r>
            <w:r w:rsidRPr="006D5CD1">
              <w:rPr>
                <w:rFonts w:ascii="Times New Roman" w:hAnsi="Times New Roman" w:cs="Times New Roman"/>
              </w:rPr>
              <w:t xml:space="preserve">) </w:t>
            </w:r>
            <w:r w:rsidRPr="006D5CD1">
              <w:rPr>
                <w:rFonts w:ascii="Times New Roman" w:hAnsi="Times New Roman" w:cs="Times New Roman"/>
                <w:b/>
                <w:bCs/>
              </w:rPr>
              <w:t>(C)</w:t>
            </w:r>
            <w:r w:rsidRPr="006D5CD1">
              <w:rPr>
                <w:rFonts w:ascii="Times New Roman" w:hAnsi="Times New Roman" w:cs="Times New Roman"/>
              </w:rPr>
              <w:t xml:space="preserve"> į pasiūlymo kainą turi būti įskaičiuoti visi 62 mėnesių sutarties kaštai, įskaitant sistemos priežiūros, vystymo paslaugų kainą, egzamino laikymo mokestį)</w:t>
            </w:r>
          </w:p>
        </w:tc>
        <w:tc>
          <w:tcPr>
            <w:tcW w:w="846" w:type="pct"/>
          </w:tcPr>
          <w:p w14:paraId="7EAC1EFF" w14:textId="35001C5B" w:rsidR="00866F2B" w:rsidRPr="006D5CD1" w:rsidRDefault="00866F2B" w:rsidP="00EF63CC">
            <w:pPr>
              <w:widowControl w:val="0"/>
              <w:tabs>
                <w:tab w:val="left" w:pos="851"/>
              </w:tabs>
              <w:spacing w:line="240" w:lineRule="auto"/>
              <w:jc w:val="center"/>
              <w:rPr>
                <w:rFonts w:ascii="Times New Roman" w:eastAsia="Times New Roman" w:hAnsi="Times New Roman" w:cs="Times New Roman"/>
              </w:rPr>
            </w:pPr>
            <w:r w:rsidRPr="006D5CD1">
              <w:rPr>
                <w:rFonts w:ascii="Times New Roman" w:eastAsia="Times New Roman" w:hAnsi="Times New Roman" w:cs="Times New Roman"/>
              </w:rPr>
              <w:t>X=</w:t>
            </w:r>
            <w:r w:rsidR="00AE7701">
              <w:rPr>
                <w:rFonts w:ascii="Times New Roman" w:eastAsia="Times New Roman" w:hAnsi="Times New Roman" w:cs="Times New Roman"/>
              </w:rPr>
              <w:t>95</w:t>
            </w:r>
          </w:p>
        </w:tc>
        <w:tc>
          <w:tcPr>
            <w:tcW w:w="1433" w:type="pct"/>
          </w:tcPr>
          <w:p w14:paraId="2C2E0CA8" w14:textId="77777777" w:rsidR="00866F2B" w:rsidRPr="006D5CD1" w:rsidRDefault="00866F2B" w:rsidP="00EF63CC">
            <w:pPr>
              <w:widowControl w:val="0"/>
              <w:tabs>
                <w:tab w:val="left" w:pos="851"/>
              </w:tabs>
              <w:spacing w:line="240" w:lineRule="auto"/>
              <w:jc w:val="center"/>
              <w:rPr>
                <w:rFonts w:ascii="Times New Roman" w:eastAsia="Times New Roman" w:hAnsi="Times New Roman" w:cs="Times New Roman"/>
              </w:rPr>
            </w:pPr>
          </w:p>
        </w:tc>
      </w:tr>
      <w:tr w:rsidR="00866F2B" w:rsidRPr="00866F2B" w14:paraId="1F41C369" w14:textId="77777777" w:rsidTr="006D5CD1">
        <w:trPr>
          <w:cantSplit/>
          <w:trHeight w:val="447"/>
        </w:trPr>
        <w:tc>
          <w:tcPr>
            <w:tcW w:w="2721" w:type="pct"/>
          </w:tcPr>
          <w:p w14:paraId="3D56742C" w14:textId="77777777" w:rsidR="00866F2B" w:rsidRPr="006D5CD1" w:rsidRDefault="00866F2B" w:rsidP="00866F2B">
            <w:pPr>
              <w:pStyle w:val="ListParagraph"/>
              <w:numPr>
                <w:ilvl w:val="0"/>
                <w:numId w:val="5"/>
              </w:numPr>
              <w:tabs>
                <w:tab w:val="left" w:pos="316"/>
              </w:tabs>
              <w:spacing w:line="240" w:lineRule="auto"/>
              <w:ind w:left="318" w:hanging="284"/>
              <w:jc w:val="both"/>
              <w:rPr>
                <w:rFonts w:ascii="Times New Roman" w:hAnsi="Times New Roman" w:cs="Times New Roman"/>
                <w:i/>
              </w:rPr>
            </w:pPr>
            <w:r w:rsidRPr="006D5CD1">
              <w:rPr>
                <w:rFonts w:ascii="Times New Roman" w:hAnsi="Times New Roman" w:cs="Times New Roman"/>
                <w:b/>
              </w:rPr>
              <w:t>Antras kriterijus – siūlomos sistemos kokybė</w:t>
            </w:r>
            <w:r w:rsidRPr="006D5CD1">
              <w:rPr>
                <w:rFonts w:ascii="Times New Roman" w:hAnsi="Times New Roman" w:cs="Times New Roman"/>
                <w:b/>
                <w:bCs/>
              </w:rPr>
              <w:t xml:space="preserve"> </w:t>
            </w:r>
            <w:r w:rsidRPr="006D5CD1">
              <w:rPr>
                <w:rFonts w:ascii="Times New Roman" w:hAnsi="Times New Roman" w:cs="Times New Roman"/>
                <w:b/>
              </w:rPr>
              <w:t>(T)</w:t>
            </w:r>
          </w:p>
        </w:tc>
        <w:tc>
          <w:tcPr>
            <w:tcW w:w="846" w:type="pct"/>
          </w:tcPr>
          <w:p w14:paraId="38B3820B" w14:textId="5FB8AE3E" w:rsidR="00866F2B" w:rsidRPr="006D5CD1" w:rsidRDefault="00866F2B" w:rsidP="00EF63CC">
            <w:pPr>
              <w:widowControl w:val="0"/>
              <w:tabs>
                <w:tab w:val="left" w:pos="851"/>
              </w:tabs>
              <w:spacing w:line="240" w:lineRule="auto"/>
              <w:jc w:val="center"/>
              <w:rPr>
                <w:rFonts w:ascii="Times New Roman" w:eastAsia="Times New Roman" w:hAnsi="Times New Roman" w:cs="Times New Roman"/>
              </w:rPr>
            </w:pPr>
            <w:r w:rsidRPr="006D5CD1">
              <w:rPr>
                <w:rFonts w:ascii="Times New Roman" w:eastAsia="Times New Roman" w:hAnsi="Times New Roman" w:cs="Times New Roman"/>
              </w:rPr>
              <w:t>Y</w:t>
            </w:r>
            <w:r w:rsidRPr="006D5CD1">
              <w:rPr>
                <w:rFonts w:ascii="Times New Roman" w:eastAsia="Times New Roman" w:hAnsi="Times New Roman" w:cs="Times New Roman"/>
                <w:lang w:val="en-GB"/>
              </w:rPr>
              <w:t>=</w:t>
            </w:r>
            <w:r w:rsidR="00AE7701">
              <w:rPr>
                <w:rFonts w:ascii="Times New Roman" w:eastAsia="Times New Roman" w:hAnsi="Times New Roman" w:cs="Times New Roman"/>
                <w:lang w:val="en-GB"/>
              </w:rPr>
              <w:t>5</w:t>
            </w:r>
          </w:p>
        </w:tc>
        <w:tc>
          <w:tcPr>
            <w:tcW w:w="1433" w:type="pct"/>
          </w:tcPr>
          <w:p w14:paraId="5990B377" w14:textId="77777777" w:rsidR="00866F2B" w:rsidRPr="006D5CD1" w:rsidRDefault="00866F2B" w:rsidP="00EF63CC">
            <w:pPr>
              <w:widowControl w:val="0"/>
              <w:tabs>
                <w:tab w:val="left" w:pos="851"/>
              </w:tabs>
              <w:spacing w:line="240" w:lineRule="auto"/>
              <w:jc w:val="center"/>
              <w:rPr>
                <w:rFonts w:ascii="Times New Roman" w:eastAsia="Times New Roman" w:hAnsi="Times New Roman" w:cs="Times New Roman"/>
                <w:lang w:val="en-GB"/>
              </w:rPr>
            </w:pPr>
          </w:p>
        </w:tc>
      </w:tr>
      <w:tr w:rsidR="00866F2B" w:rsidRPr="00866F2B" w14:paraId="383D4117" w14:textId="77777777" w:rsidTr="006D5CD1">
        <w:trPr>
          <w:cantSplit/>
          <w:trHeight w:val="836"/>
        </w:trPr>
        <w:tc>
          <w:tcPr>
            <w:tcW w:w="2721" w:type="pct"/>
          </w:tcPr>
          <w:p w14:paraId="0F9A56E6" w14:textId="77777777" w:rsidR="006D5CD1" w:rsidRDefault="00866F2B" w:rsidP="006D5CD1">
            <w:pPr>
              <w:pStyle w:val="ListParagraph"/>
              <w:tabs>
                <w:tab w:val="left" w:pos="588"/>
              </w:tabs>
              <w:spacing w:line="240" w:lineRule="auto"/>
              <w:ind w:left="0"/>
              <w:jc w:val="both"/>
              <w:rPr>
                <w:rFonts w:ascii="Times New Roman" w:hAnsi="Times New Roman" w:cs="Times New Roman"/>
              </w:rPr>
            </w:pPr>
            <w:r w:rsidRPr="006D5CD1">
              <w:rPr>
                <w:rFonts w:ascii="Times New Roman" w:hAnsi="Times New Roman" w:cs="Times New Roman"/>
              </w:rPr>
              <w:t xml:space="preserve">2.1. pirmas parametras:  </w:t>
            </w:r>
          </w:p>
          <w:p w14:paraId="38F24B31" w14:textId="47265D04" w:rsidR="00866F2B" w:rsidRPr="006D5CD1" w:rsidRDefault="00866F2B" w:rsidP="006D5CD1">
            <w:pPr>
              <w:pStyle w:val="ListParagraph"/>
              <w:tabs>
                <w:tab w:val="left" w:pos="588"/>
              </w:tabs>
              <w:spacing w:line="240" w:lineRule="auto"/>
              <w:ind w:left="0"/>
              <w:jc w:val="both"/>
              <w:rPr>
                <w:rFonts w:ascii="Times New Roman" w:hAnsi="Times New Roman" w:cs="Times New Roman"/>
              </w:rPr>
            </w:pPr>
            <w:r w:rsidRPr="006D5CD1">
              <w:rPr>
                <w:rFonts w:ascii="Times New Roman" w:hAnsi="Times New Roman" w:cs="Times New Roman"/>
              </w:rPr>
              <w:t>VAS atitinka Pasaulinio saityno konsorciumo (W3C) parengtų Žiniatinklio turinio prieinamumo gairių WCAG 2.2</w:t>
            </w:r>
            <w:r w:rsidR="008E0718">
              <w:rPr>
                <w:rFonts w:ascii="Times New Roman" w:hAnsi="Times New Roman" w:cs="Times New Roman"/>
              </w:rPr>
              <w:t>.</w:t>
            </w:r>
            <w:r w:rsidRPr="006D5CD1">
              <w:rPr>
                <w:rFonts w:ascii="Times New Roman" w:hAnsi="Times New Roman" w:cs="Times New Roman"/>
              </w:rPr>
              <w:t xml:space="preserve"> ne žemesnį kaip AAA atitikties lygį</w:t>
            </w:r>
            <w:r w:rsidRPr="006D5CD1" w:rsidDel="000D55D4">
              <w:rPr>
                <w:rFonts w:ascii="Times New Roman" w:hAnsi="Times New Roman" w:cs="Times New Roman"/>
              </w:rPr>
              <w:t xml:space="preserve"> </w:t>
            </w:r>
            <w:r w:rsidRPr="006D5CD1">
              <w:rPr>
                <w:rFonts w:ascii="Times New Roman" w:hAnsi="Times New Roman" w:cs="Times New Roman"/>
              </w:rPr>
              <w:t>(P</w:t>
            </w:r>
            <w:r w:rsidRPr="006D5CD1">
              <w:rPr>
                <w:rFonts w:ascii="Times New Roman" w:hAnsi="Times New Roman" w:cs="Times New Roman"/>
                <w:vertAlign w:val="subscript"/>
              </w:rPr>
              <w:t>1</w:t>
            </w:r>
            <w:r w:rsidRPr="006D5CD1">
              <w:rPr>
                <w:rFonts w:ascii="Times New Roman" w:hAnsi="Times New Roman" w:cs="Times New Roman"/>
              </w:rPr>
              <w:t>)</w:t>
            </w:r>
          </w:p>
        </w:tc>
        <w:tc>
          <w:tcPr>
            <w:tcW w:w="846" w:type="pct"/>
          </w:tcPr>
          <w:p w14:paraId="423B6B8B" w14:textId="3745992F" w:rsidR="00866F2B" w:rsidRPr="005F4CD5" w:rsidRDefault="005F4CD5" w:rsidP="00AE7701">
            <w:pPr>
              <w:widowControl w:val="0"/>
              <w:tabs>
                <w:tab w:val="left" w:pos="851"/>
              </w:tabs>
              <w:spacing w:line="240" w:lineRule="auto"/>
              <w:jc w:val="center"/>
              <w:rPr>
                <w:rFonts w:ascii="Times New Roman" w:eastAsia="Times New Roman" w:hAnsi="Times New Roman" w:cs="Times New Roman"/>
                <w:noProof/>
              </w:rPr>
            </w:pPr>
            <w:r w:rsidRPr="005F4CD5">
              <w:rPr>
                <w:rFonts w:ascii="Times New Roman" w:hAnsi="Times New Roman" w:cs="Times New Roman"/>
                <w:szCs w:val="24"/>
                <w:lang w:eastAsia="lt-LT"/>
              </w:rPr>
              <w:t>Y</w:t>
            </w:r>
            <w:r w:rsidRPr="005F4CD5">
              <w:rPr>
                <w:rFonts w:ascii="Times New Roman" w:hAnsi="Times New Roman" w:cs="Times New Roman"/>
                <w:szCs w:val="24"/>
                <w:vertAlign w:val="subscript"/>
                <w:lang w:eastAsia="lt-LT"/>
              </w:rPr>
              <w:t>1</w:t>
            </w:r>
            <w:r w:rsidRPr="005F4CD5">
              <w:rPr>
                <w:rFonts w:ascii="Times New Roman" w:eastAsia="Times New Roman" w:hAnsi="Times New Roman" w:cs="Times New Roman"/>
                <w:lang w:val="en-GB"/>
              </w:rPr>
              <w:t>=</w:t>
            </w:r>
            <w:r w:rsidR="00AE7701" w:rsidRPr="005F4CD5">
              <w:rPr>
                <w:rFonts w:ascii="Times New Roman" w:eastAsia="Times New Roman" w:hAnsi="Times New Roman" w:cs="Times New Roman"/>
                <w:noProof/>
              </w:rPr>
              <w:t>1,5</w:t>
            </w:r>
          </w:p>
        </w:tc>
        <w:tc>
          <w:tcPr>
            <w:tcW w:w="1433" w:type="pct"/>
          </w:tcPr>
          <w:p w14:paraId="7C999E0A" w14:textId="56EAF52A" w:rsidR="00866F2B" w:rsidRDefault="00866F2B" w:rsidP="006D5CD1">
            <w:pPr>
              <w:widowControl w:val="0"/>
              <w:tabs>
                <w:tab w:val="left" w:pos="851"/>
              </w:tabs>
              <w:spacing w:line="240" w:lineRule="auto"/>
              <w:jc w:val="both"/>
              <w:rPr>
                <w:rFonts w:ascii="Times New Roman" w:hAnsi="Times New Roman" w:cs="Times New Roman"/>
              </w:rPr>
            </w:pPr>
            <w:r w:rsidRPr="006D5CD1">
              <w:rPr>
                <w:rFonts w:ascii="Times New Roman" w:hAnsi="Times New Roman" w:cs="Times New Roman"/>
                <w:u w:val="single"/>
              </w:rPr>
              <w:t>0 balų,</w:t>
            </w:r>
            <w:r w:rsidRPr="006D5CD1">
              <w:rPr>
                <w:rFonts w:ascii="Times New Roman" w:hAnsi="Times New Roman" w:cs="Times New Roman"/>
              </w:rPr>
              <w:t xml:space="preserve"> kai VAS atitinka Pasaulinio saityno konsorciumo (W3C) parengtų Žiniatinklio turinio prieinamumo gairių WCAG 2.2 ne žemesnį kaip AA atitikties lygį</w:t>
            </w:r>
            <w:r w:rsidR="006D5CD1">
              <w:rPr>
                <w:rFonts w:ascii="Times New Roman" w:hAnsi="Times New Roman" w:cs="Times New Roman"/>
              </w:rPr>
              <w:t>.</w:t>
            </w:r>
          </w:p>
          <w:p w14:paraId="77CF7B9D" w14:textId="77777777" w:rsidR="006D5CD1" w:rsidRPr="006D5CD1" w:rsidRDefault="006D5CD1" w:rsidP="006D5CD1">
            <w:pPr>
              <w:widowControl w:val="0"/>
              <w:tabs>
                <w:tab w:val="left" w:pos="851"/>
              </w:tabs>
              <w:spacing w:line="240" w:lineRule="auto"/>
              <w:jc w:val="both"/>
              <w:rPr>
                <w:rFonts w:ascii="Times New Roman" w:hAnsi="Times New Roman" w:cs="Times New Roman"/>
              </w:rPr>
            </w:pPr>
          </w:p>
          <w:p w14:paraId="2C50F113" w14:textId="67FFAF0A" w:rsidR="00866F2B" w:rsidRPr="006D5CD1" w:rsidRDefault="00866F2B" w:rsidP="006D5CD1">
            <w:pPr>
              <w:widowControl w:val="0"/>
              <w:tabs>
                <w:tab w:val="left" w:pos="851"/>
              </w:tabs>
              <w:spacing w:line="240" w:lineRule="auto"/>
              <w:jc w:val="both"/>
              <w:rPr>
                <w:rFonts w:ascii="Times New Roman" w:eastAsia="Times New Roman" w:hAnsi="Times New Roman" w:cs="Times New Roman"/>
              </w:rPr>
            </w:pPr>
            <w:r w:rsidRPr="006D5CD1">
              <w:rPr>
                <w:rFonts w:ascii="Times New Roman" w:eastAsia="Times New Roman" w:hAnsi="Times New Roman" w:cs="Times New Roman"/>
                <w:u w:val="single"/>
              </w:rPr>
              <w:t>2 balai</w:t>
            </w:r>
            <w:r w:rsidRPr="006D5CD1">
              <w:rPr>
                <w:rFonts w:ascii="Times New Roman" w:eastAsia="Times New Roman" w:hAnsi="Times New Roman" w:cs="Times New Roman"/>
              </w:rPr>
              <w:t>, kai VAS atitinka Pasaulinio saityno konsorciumo (W3C) parengtų Žiniatinklio turinio prieinamumo gairių WCAG 2.2 ne žemesnį kaip AAA atitikties lygį</w:t>
            </w:r>
          </w:p>
        </w:tc>
      </w:tr>
      <w:tr w:rsidR="00866F2B" w:rsidRPr="00866F2B" w14:paraId="5F3AA37B" w14:textId="77777777" w:rsidTr="006D5CD1">
        <w:trPr>
          <w:cantSplit/>
          <w:trHeight w:val="836"/>
        </w:trPr>
        <w:tc>
          <w:tcPr>
            <w:tcW w:w="2721" w:type="pct"/>
          </w:tcPr>
          <w:p w14:paraId="5CF4EA05" w14:textId="77777777" w:rsidR="004919F9" w:rsidRPr="003C56BB" w:rsidRDefault="00866F2B" w:rsidP="00EF63CC">
            <w:pPr>
              <w:tabs>
                <w:tab w:val="left" w:pos="588"/>
              </w:tabs>
              <w:spacing w:line="240" w:lineRule="auto"/>
              <w:rPr>
                <w:rFonts w:ascii="Times New Roman" w:hAnsi="Times New Roman" w:cs="Times New Roman"/>
              </w:rPr>
            </w:pPr>
            <w:r w:rsidRPr="003C56BB">
              <w:rPr>
                <w:rFonts w:ascii="Times New Roman" w:hAnsi="Times New Roman" w:cs="Times New Roman"/>
              </w:rPr>
              <w:t xml:space="preserve">2.2. antras parametras:  </w:t>
            </w:r>
          </w:p>
          <w:p w14:paraId="20F6EB5F" w14:textId="12443012" w:rsidR="00866F2B" w:rsidRPr="003C56BB" w:rsidRDefault="00866F2B" w:rsidP="00EF63CC">
            <w:pPr>
              <w:tabs>
                <w:tab w:val="left" w:pos="588"/>
              </w:tabs>
              <w:spacing w:line="240" w:lineRule="auto"/>
              <w:rPr>
                <w:rFonts w:ascii="Times New Roman" w:hAnsi="Times New Roman" w:cs="Times New Roman"/>
              </w:rPr>
            </w:pPr>
            <w:r w:rsidRPr="003C56BB">
              <w:rPr>
                <w:rFonts w:ascii="Times New Roman" w:hAnsi="Times New Roman" w:cs="Times New Roman"/>
              </w:rPr>
              <w:t>VAS įdiegta testų ir kurso baigtumo ataskaita</w:t>
            </w:r>
            <w:r w:rsidRPr="003C56BB" w:rsidDel="00AC176B">
              <w:rPr>
                <w:rFonts w:ascii="Times New Roman" w:hAnsi="Times New Roman" w:cs="Times New Roman"/>
              </w:rPr>
              <w:t xml:space="preserve"> </w:t>
            </w:r>
            <w:r w:rsidRPr="003C56BB">
              <w:rPr>
                <w:rFonts w:ascii="Times New Roman" w:hAnsi="Times New Roman" w:cs="Times New Roman"/>
              </w:rPr>
              <w:t>(P</w:t>
            </w:r>
            <w:r w:rsidRPr="003C56BB">
              <w:rPr>
                <w:rFonts w:ascii="Times New Roman" w:hAnsi="Times New Roman" w:cs="Times New Roman"/>
                <w:vertAlign w:val="subscript"/>
              </w:rPr>
              <w:t>2</w:t>
            </w:r>
            <w:r w:rsidRPr="003C56BB">
              <w:rPr>
                <w:rFonts w:ascii="Times New Roman" w:hAnsi="Times New Roman" w:cs="Times New Roman"/>
              </w:rPr>
              <w:t>)</w:t>
            </w:r>
          </w:p>
        </w:tc>
        <w:tc>
          <w:tcPr>
            <w:tcW w:w="846" w:type="pct"/>
          </w:tcPr>
          <w:p w14:paraId="3BB05116" w14:textId="31B65EF3" w:rsidR="00866F2B" w:rsidRPr="003C56BB" w:rsidRDefault="005F4CD5" w:rsidP="00AE7701">
            <w:pPr>
              <w:widowControl w:val="0"/>
              <w:tabs>
                <w:tab w:val="left" w:pos="851"/>
              </w:tabs>
              <w:spacing w:line="240" w:lineRule="auto"/>
              <w:jc w:val="center"/>
              <w:rPr>
                <w:rFonts w:ascii="Times New Roman" w:eastAsia="Times New Roman" w:hAnsi="Times New Roman" w:cs="Times New Roman"/>
                <w:noProof/>
              </w:rPr>
            </w:pPr>
            <w:r w:rsidRPr="003C56BB">
              <w:rPr>
                <w:rFonts w:ascii="Times New Roman" w:hAnsi="Times New Roman" w:cs="Times New Roman"/>
                <w:lang w:eastAsia="lt-LT"/>
              </w:rPr>
              <w:t>Y</w:t>
            </w:r>
            <w:r w:rsidRPr="003C56BB">
              <w:rPr>
                <w:rFonts w:ascii="Times New Roman" w:hAnsi="Times New Roman" w:cs="Times New Roman"/>
                <w:vertAlign w:val="subscript"/>
                <w:lang w:eastAsia="lt-LT"/>
              </w:rPr>
              <w:t>2</w:t>
            </w:r>
            <w:r w:rsidRPr="003C56BB">
              <w:rPr>
                <w:rFonts w:ascii="Times New Roman" w:eastAsia="Times New Roman" w:hAnsi="Times New Roman" w:cs="Times New Roman"/>
                <w:lang w:val="en-GB"/>
              </w:rPr>
              <w:t>=</w:t>
            </w:r>
            <w:r w:rsidR="00AE7701" w:rsidRPr="003C56BB">
              <w:rPr>
                <w:rFonts w:ascii="Times New Roman" w:eastAsia="Times New Roman" w:hAnsi="Times New Roman" w:cs="Times New Roman"/>
                <w:noProof/>
              </w:rPr>
              <w:t>0,5</w:t>
            </w:r>
          </w:p>
        </w:tc>
        <w:tc>
          <w:tcPr>
            <w:tcW w:w="1433" w:type="pct"/>
          </w:tcPr>
          <w:p w14:paraId="76238DF5" w14:textId="516A01BA" w:rsidR="00866F2B" w:rsidRPr="003C56BB" w:rsidRDefault="00866F2B" w:rsidP="004919F9">
            <w:pPr>
              <w:widowControl w:val="0"/>
              <w:tabs>
                <w:tab w:val="left" w:pos="851"/>
              </w:tabs>
              <w:spacing w:line="240" w:lineRule="auto"/>
              <w:jc w:val="both"/>
              <w:rPr>
                <w:rFonts w:ascii="Times New Roman" w:hAnsi="Times New Roman" w:cs="Times New Roman"/>
              </w:rPr>
            </w:pPr>
            <w:r w:rsidRPr="003C56BB">
              <w:rPr>
                <w:rFonts w:ascii="Times New Roman" w:hAnsi="Times New Roman" w:cs="Times New Roman"/>
                <w:u w:val="single"/>
              </w:rPr>
              <w:t>0 balų</w:t>
            </w:r>
            <w:r w:rsidRPr="003C56BB">
              <w:rPr>
                <w:rFonts w:ascii="Times New Roman" w:hAnsi="Times New Roman" w:cs="Times New Roman"/>
              </w:rPr>
              <w:t>, kai VAS nėra įdiegto ataskaitų plėtinio -  testų ir kurso baigtumo ataskaitos</w:t>
            </w:r>
            <w:r w:rsidR="004919F9" w:rsidRPr="003C56BB">
              <w:rPr>
                <w:rFonts w:ascii="Times New Roman" w:hAnsi="Times New Roman" w:cs="Times New Roman"/>
              </w:rPr>
              <w:t>.</w:t>
            </w:r>
          </w:p>
          <w:p w14:paraId="6C5D579D" w14:textId="77777777" w:rsidR="004919F9" w:rsidRPr="003C56BB" w:rsidRDefault="004919F9" w:rsidP="004919F9">
            <w:pPr>
              <w:widowControl w:val="0"/>
              <w:tabs>
                <w:tab w:val="left" w:pos="851"/>
              </w:tabs>
              <w:spacing w:line="240" w:lineRule="auto"/>
              <w:jc w:val="both"/>
              <w:rPr>
                <w:rFonts w:ascii="Times New Roman" w:hAnsi="Times New Roman" w:cs="Times New Roman"/>
              </w:rPr>
            </w:pPr>
          </w:p>
          <w:p w14:paraId="4D09EF75" w14:textId="29305F73" w:rsidR="00866F2B" w:rsidRPr="003C56BB" w:rsidRDefault="00866F2B" w:rsidP="004919F9">
            <w:pPr>
              <w:widowControl w:val="0"/>
              <w:tabs>
                <w:tab w:val="left" w:pos="851"/>
              </w:tabs>
              <w:spacing w:line="240" w:lineRule="auto"/>
              <w:jc w:val="both"/>
              <w:rPr>
                <w:rFonts w:ascii="Times New Roman" w:eastAsia="Times New Roman" w:hAnsi="Times New Roman" w:cs="Times New Roman"/>
              </w:rPr>
            </w:pPr>
            <w:r w:rsidRPr="003C56BB">
              <w:rPr>
                <w:rFonts w:ascii="Times New Roman" w:eastAsia="Times New Roman" w:hAnsi="Times New Roman" w:cs="Times New Roman"/>
                <w:u w:val="single"/>
              </w:rPr>
              <w:t>2 balai</w:t>
            </w:r>
            <w:r w:rsidRPr="003C56BB">
              <w:rPr>
                <w:rFonts w:ascii="Times New Roman" w:eastAsia="Times New Roman" w:hAnsi="Times New Roman" w:cs="Times New Roman"/>
              </w:rPr>
              <w:t>, kai VAS</w:t>
            </w:r>
            <w:r w:rsidRPr="003C56BB">
              <w:rPr>
                <w:rFonts w:ascii="Times New Roman" w:hAnsi="Times New Roman" w:cs="Times New Roman"/>
              </w:rPr>
              <w:t xml:space="preserve"> įdiegtas ataskaitų plėtinys - testų ir kurso baigtumo ataskaita, kuri apima tokius duomenis:</w:t>
            </w:r>
          </w:p>
          <w:p w14:paraId="1134344C" w14:textId="77777777" w:rsidR="00866F2B" w:rsidRPr="003C56BB" w:rsidRDefault="00866F2B" w:rsidP="004919F9">
            <w:pPr>
              <w:widowControl w:val="0"/>
              <w:tabs>
                <w:tab w:val="left" w:pos="851"/>
              </w:tabs>
              <w:spacing w:line="240" w:lineRule="auto"/>
              <w:jc w:val="both"/>
              <w:rPr>
                <w:rFonts w:ascii="Times New Roman" w:eastAsia="Times New Roman" w:hAnsi="Times New Roman" w:cs="Times New Roman"/>
              </w:rPr>
            </w:pPr>
            <w:r w:rsidRPr="003C56BB">
              <w:rPr>
                <w:rFonts w:ascii="Times New Roman" w:hAnsi="Times New Roman" w:cs="Times New Roman"/>
              </w:rPr>
              <w:t xml:space="preserve">1) naudotojų (asmenų), laikiusių egzaminą, skaičius </w:t>
            </w:r>
            <w:r w:rsidRPr="003C56BB">
              <w:rPr>
                <w:rFonts w:ascii="Times New Roman" w:hAnsi="Times New Roman" w:cs="Times New Roman"/>
              </w:rPr>
              <w:lastRenderedPageBreak/>
              <w:t>per pasirinktą laikotarpį;</w:t>
            </w:r>
          </w:p>
          <w:p w14:paraId="1AC70474" w14:textId="77777777" w:rsidR="00866F2B" w:rsidRPr="003C56BB" w:rsidRDefault="00866F2B" w:rsidP="004919F9">
            <w:pPr>
              <w:widowControl w:val="0"/>
              <w:tabs>
                <w:tab w:val="left" w:pos="851"/>
              </w:tabs>
              <w:spacing w:line="240" w:lineRule="auto"/>
              <w:jc w:val="both"/>
              <w:rPr>
                <w:rFonts w:ascii="Times New Roman" w:hAnsi="Times New Roman" w:cs="Times New Roman"/>
              </w:rPr>
            </w:pPr>
            <w:r w:rsidRPr="003C56BB">
              <w:rPr>
                <w:rFonts w:ascii="Times New Roman" w:hAnsi="Times New Roman" w:cs="Times New Roman"/>
              </w:rPr>
              <w:t>2) naudotojų (asmenų), išlaikiusių egzaminą ir turinčių galiojantį atestatą, skaičius per pasirinką laikotarpį;</w:t>
            </w:r>
          </w:p>
          <w:p w14:paraId="60029C7F" w14:textId="77777777" w:rsidR="00866F2B" w:rsidRPr="003C56BB" w:rsidRDefault="00866F2B" w:rsidP="004919F9">
            <w:pPr>
              <w:widowControl w:val="0"/>
              <w:tabs>
                <w:tab w:val="left" w:pos="851"/>
              </w:tabs>
              <w:spacing w:line="240" w:lineRule="auto"/>
              <w:jc w:val="both"/>
              <w:rPr>
                <w:rFonts w:ascii="Times New Roman" w:hAnsi="Times New Roman" w:cs="Times New Roman"/>
              </w:rPr>
            </w:pPr>
            <w:r w:rsidRPr="003C56BB">
              <w:rPr>
                <w:rFonts w:ascii="Times New Roman" w:hAnsi="Times New Roman" w:cs="Times New Roman"/>
              </w:rPr>
              <w:t>3) egzamino laikymo bandymų skaičius per pasirinktą laikotarpį.</w:t>
            </w:r>
          </w:p>
        </w:tc>
      </w:tr>
      <w:tr w:rsidR="00866F2B" w:rsidRPr="00866F2B" w14:paraId="6920D5D8" w14:textId="77777777" w:rsidTr="006D5CD1">
        <w:trPr>
          <w:cantSplit/>
          <w:trHeight w:val="706"/>
        </w:trPr>
        <w:tc>
          <w:tcPr>
            <w:tcW w:w="2721" w:type="pct"/>
          </w:tcPr>
          <w:p w14:paraId="587DFAD2" w14:textId="77777777" w:rsidR="004919F9" w:rsidRPr="003C56BB" w:rsidRDefault="00866F2B" w:rsidP="00EF63CC">
            <w:pPr>
              <w:tabs>
                <w:tab w:val="left" w:pos="588"/>
              </w:tabs>
              <w:spacing w:line="240" w:lineRule="auto"/>
              <w:jc w:val="both"/>
              <w:rPr>
                <w:rFonts w:ascii="Times New Roman" w:hAnsi="Times New Roman" w:cs="Times New Roman"/>
              </w:rPr>
            </w:pPr>
            <w:r w:rsidRPr="003C56BB">
              <w:rPr>
                <w:rFonts w:ascii="Times New Roman" w:hAnsi="Times New Roman" w:cs="Times New Roman"/>
              </w:rPr>
              <w:lastRenderedPageBreak/>
              <w:t xml:space="preserve">2.3. trečias parametras: </w:t>
            </w:r>
          </w:p>
          <w:p w14:paraId="679E7C60" w14:textId="3AC2A698" w:rsidR="00866F2B" w:rsidRPr="003C56BB" w:rsidRDefault="00866F2B" w:rsidP="00EF63CC">
            <w:pPr>
              <w:tabs>
                <w:tab w:val="left" w:pos="588"/>
              </w:tabs>
              <w:spacing w:line="240" w:lineRule="auto"/>
              <w:jc w:val="both"/>
              <w:rPr>
                <w:rFonts w:ascii="Times New Roman" w:hAnsi="Times New Roman" w:cs="Times New Roman"/>
              </w:rPr>
            </w:pPr>
            <w:r w:rsidRPr="003C56BB">
              <w:rPr>
                <w:rFonts w:ascii="Times New Roman" w:hAnsi="Times New Roman" w:cs="Times New Roman"/>
              </w:rPr>
              <w:t>pateiktas Techninio sąžiningumo patikrinimo priemonių rizikų įvertinimo ir valdymo priemonių planas nuotoliniam egzamino laikymui ( P</w:t>
            </w:r>
            <w:r w:rsidRPr="003C56BB">
              <w:rPr>
                <w:rFonts w:ascii="Times New Roman" w:hAnsi="Times New Roman" w:cs="Times New Roman"/>
                <w:vertAlign w:val="subscript"/>
              </w:rPr>
              <w:t>3</w:t>
            </w:r>
            <w:r w:rsidRPr="003C56BB">
              <w:rPr>
                <w:rFonts w:ascii="Times New Roman" w:hAnsi="Times New Roman" w:cs="Times New Roman"/>
              </w:rPr>
              <w:t>)</w:t>
            </w:r>
          </w:p>
        </w:tc>
        <w:tc>
          <w:tcPr>
            <w:tcW w:w="846" w:type="pct"/>
          </w:tcPr>
          <w:p w14:paraId="46164EC8" w14:textId="7F8314D1" w:rsidR="00866F2B" w:rsidRPr="003C56BB" w:rsidRDefault="005F4CD5" w:rsidP="00AE7701">
            <w:pPr>
              <w:widowControl w:val="0"/>
              <w:tabs>
                <w:tab w:val="left" w:pos="851"/>
              </w:tabs>
              <w:spacing w:line="240" w:lineRule="auto"/>
              <w:jc w:val="center"/>
              <w:rPr>
                <w:rFonts w:ascii="Times New Roman" w:eastAsia="Times New Roman" w:hAnsi="Times New Roman" w:cs="Times New Roman"/>
                <w:noProof/>
              </w:rPr>
            </w:pPr>
            <w:r w:rsidRPr="003C56BB">
              <w:rPr>
                <w:rFonts w:ascii="Times New Roman" w:hAnsi="Times New Roman" w:cs="Times New Roman"/>
                <w:lang w:eastAsia="lt-LT"/>
              </w:rPr>
              <w:t>Y</w:t>
            </w:r>
            <w:r w:rsidRPr="003C56BB">
              <w:rPr>
                <w:rFonts w:ascii="Times New Roman" w:hAnsi="Times New Roman" w:cs="Times New Roman"/>
                <w:vertAlign w:val="subscript"/>
                <w:lang w:eastAsia="lt-LT"/>
              </w:rPr>
              <w:t>3</w:t>
            </w:r>
            <w:r w:rsidRPr="003C56BB">
              <w:rPr>
                <w:rFonts w:ascii="Times New Roman" w:eastAsia="Times New Roman" w:hAnsi="Times New Roman" w:cs="Times New Roman"/>
                <w:lang w:val="en-GB"/>
              </w:rPr>
              <w:t>=</w:t>
            </w:r>
            <w:r w:rsidR="00AE7701" w:rsidRPr="003C56BB">
              <w:rPr>
                <w:rFonts w:ascii="Times New Roman" w:eastAsia="Times New Roman" w:hAnsi="Times New Roman" w:cs="Times New Roman"/>
                <w:noProof/>
              </w:rPr>
              <w:t>3</w:t>
            </w:r>
          </w:p>
        </w:tc>
        <w:tc>
          <w:tcPr>
            <w:tcW w:w="1433" w:type="pct"/>
          </w:tcPr>
          <w:p w14:paraId="60D93BAD" w14:textId="7D6C062B" w:rsidR="00866F2B" w:rsidRPr="003C56BB" w:rsidRDefault="00866F2B" w:rsidP="00EF63CC">
            <w:pPr>
              <w:spacing w:line="240" w:lineRule="auto"/>
              <w:jc w:val="both"/>
              <w:rPr>
                <w:rFonts w:ascii="Times New Roman" w:hAnsi="Times New Roman" w:cs="Times New Roman"/>
              </w:rPr>
            </w:pPr>
            <w:r w:rsidRPr="003C56BB">
              <w:rPr>
                <w:rFonts w:ascii="Times New Roman" w:hAnsi="Times New Roman" w:cs="Times New Roman"/>
                <w:u w:val="single"/>
              </w:rPr>
              <w:t>0 balų</w:t>
            </w:r>
            <w:r w:rsidRPr="003C56BB">
              <w:rPr>
                <w:rFonts w:ascii="Times New Roman" w:hAnsi="Times New Roman" w:cs="Times New Roman"/>
              </w:rPr>
              <w:t>, kai Techninio sąžiningumo patikrinimo priemonių rizikų įvertinimo ir valdymo priemonių planas nepateiktas</w:t>
            </w:r>
            <w:r w:rsidR="004919F9" w:rsidRPr="003C56BB">
              <w:rPr>
                <w:rFonts w:ascii="Times New Roman" w:hAnsi="Times New Roman" w:cs="Times New Roman"/>
              </w:rPr>
              <w:t>.</w:t>
            </w:r>
          </w:p>
          <w:p w14:paraId="08B42E3B" w14:textId="77777777" w:rsidR="004919F9" w:rsidRPr="003C56BB" w:rsidRDefault="004919F9" w:rsidP="00EF63CC">
            <w:pPr>
              <w:spacing w:line="240" w:lineRule="auto"/>
              <w:jc w:val="both"/>
              <w:rPr>
                <w:rFonts w:ascii="Times New Roman" w:hAnsi="Times New Roman" w:cs="Times New Roman"/>
              </w:rPr>
            </w:pPr>
          </w:p>
          <w:p w14:paraId="08D340B4" w14:textId="513224B9" w:rsidR="00866F2B" w:rsidRPr="003C56BB" w:rsidRDefault="00866F2B" w:rsidP="00EF63CC">
            <w:pPr>
              <w:spacing w:line="240" w:lineRule="auto"/>
              <w:jc w:val="both"/>
              <w:rPr>
                <w:rFonts w:ascii="Times New Roman" w:hAnsi="Times New Roman" w:cs="Times New Roman"/>
              </w:rPr>
            </w:pPr>
            <w:r w:rsidRPr="003C56BB">
              <w:rPr>
                <w:rFonts w:ascii="Times New Roman" w:hAnsi="Times New Roman" w:cs="Times New Roman"/>
                <w:u w:val="single"/>
              </w:rPr>
              <w:t>3 balai</w:t>
            </w:r>
            <w:r w:rsidRPr="003C56BB">
              <w:rPr>
                <w:rFonts w:ascii="Times New Roman" w:hAnsi="Times New Roman" w:cs="Times New Roman"/>
              </w:rPr>
              <w:t>, kai Techninio sąžiningumo patikrinimo priemonių rizikų įvertinimo ir valdymo priemonių planas pateiktas ir jame nurodytos ne mažiau kaip 3 (trys) ir ne daugiau kaip 5 (penkios) rizikos bei pateiktas jų techninio sprendimo planas, kurį Teikėjas įsipareigoja įgyvendinti. Balai suteikiami už papildomų funkcionalumų / sprendimų, kurie neapima nurodytų techninėje specifikacijoje ir padeda valdyti Teikėjo plane nurodytas rizikas įdiegimą</w:t>
            </w:r>
            <w:r w:rsidR="004919F9" w:rsidRPr="003C56BB">
              <w:rPr>
                <w:rFonts w:ascii="Times New Roman" w:hAnsi="Times New Roman" w:cs="Times New Roman"/>
              </w:rPr>
              <w:t>.</w:t>
            </w:r>
          </w:p>
          <w:p w14:paraId="1F652AF9" w14:textId="77777777" w:rsidR="004919F9" w:rsidRPr="003C56BB" w:rsidRDefault="004919F9" w:rsidP="00EF63CC">
            <w:pPr>
              <w:spacing w:line="240" w:lineRule="auto"/>
              <w:jc w:val="both"/>
              <w:rPr>
                <w:rFonts w:ascii="Times New Roman" w:hAnsi="Times New Roman" w:cs="Times New Roman"/>
              </w:rPr>
            </w:pPr>
          </w:p>
          <w:p w14:paraId="030B71FE" w14:textId="3FCA8D61" w:rsidR="00866F2B" w:rsidRPr="003C56BB" w:rsidRDefault="00866F2B" w:rsidP="004919F9">
            <w:pPr>
              <w:widowControl w:val="0"/>
              <w:tabs>
                <w:tab w:val="left" w:pos="851"/>
              </w:tabs>
              <w:spacing w:line="240" w:lineRule="auto"/>
              <w:jc w:val="both"/>
              <w:rPr>
                <w:rFonts w:ascii="Times New Roman" w:hAnsi="Times New Roman" w:cs="Times New Roman"/>
              </w:rPr>
            </w:pPr>
            <w:r w:rsidRPr="003C56BB">
              <w:rPr>
                <w:rFonts w:ascii="Times New Roman" w:hAnsi="Times New Roman" w:cs="Times New Roman"/>
                <w:u w:val="single"/>
              </w:rPr>
              <w:t>6 balai</w:t>
            </w:r>
            <w:r w:rsidRPr="003C56BB">
              <w:rPr>
                <w:rFonts w:ascii="Times New Roman" w:hAnsi="Times New Roman" w:cs="Times New Roman"/>
              </w:rPr>
              <w:t>, kai Techninio sąžiningumo patikrinimo priemonių rizikų įvertinimo ir valdymo priemonių planas  pateiktas ir jame nurodytos ne mažiau kaip 6 (šešios) ir daugiau rizikos bei pateiktas jų techninio sprendimo planas, kurį Teikėjas įsipareigoja įgyvendinti. Balai suteikiami už papildomų funkcionalumų / sprendimų, kurie neapima nurodytų techninėje specifikacijoje ir padeda valdyti Teikėjo plane nurodytas rizikas įdiegimą.</w:t>
            </w:r>
          </w:p>
        </w:tc>
      </w:tr>
    </w:tbl>
    <w:p w14:paraId="2BB89EA2" w14:textId="77777777" w:rsidR="00866F2B" w:rsidRPr="00866F2B" w:rsidRDefault="00866F2B" w:rsidP="00866F2B">
      <w:pPr>
        <w:spacing w:line="240" w:lineRule="auto"/>
        <w:jc w:val="both"/>
        <w:rPr>
          <w:rFonts w:ascii="Times New Roman" w:eastAsia="Times New Roman" w:hAnsi="Times New Roman" w:cs="Times New Roman"/>
          <w:sz w:val="24"/>
          <w:szCs w:val="24"/>
        </w:rPr>
      </w:pPr>
    </w:p>
    <w:p w14:paraId="78DF156F" w14:textId="77777777" w:rsidR="00866F2B" w:rsidRPr="00866F2B" w:rsidRDefault="00866F2B" w:rsidP="00866F2B">
      <w:pPr>
        <w:spacing w:line="240" w:lineRule="auto"/>
        <w:rPr>
          <w:rFonts w:ascii="Times New Roman" w:hAnsi="Times New Roman" w:cs="Times New Roman"/>
          <w:sz w:val="24"/>
          <w:szCs w:val="24"/>
        </w:rPr>
      </w:pPr>
      <w:r w:rsidRPr="00866F2B">
        <w:rPr>
          <w:rFonts w:ascii="Times New Roman" w:hAnsi="Times New Roman" w:cs="Times New Roman"/>
          <w:sz w:val="24"/>
          <w:szCs w:val="24"/>
        </w:rPr>
        <w:t>Teikėjo pasiūlyti VAS funkcionalumai turi būti realizuoti per 30 (trisdešimt) kalendorinių dienų nuo sutarties įsigaliojimo dienos.</w:t>
      </w:r>
    </w:p>
    <w:p w14:paraId="4455B7C2" w14:textId="77777777" w:rsidR="00482589" w:rsidRPr="00866F2B" w:rsidRDefault="00482589" w:rsidP="00482589">
      <w:pPr>
        <w:tabs>
          <w:tab w:val="left" w:pos="567"/>
          <w:tab w:val="left" w:pos="1276"/>
        </w:tabs>
        <w:spacing w:after="120" w:line="240" w:lineRule="auto"/>
        <w:jc w:val="both"/>
        <w:rPr>
          <w:rFonts w:ascii="Times New Roman" w:eastAsia="Calibri" w:hAnsi="Times New Roman" w:cs="Times New Roman"/>
          <w:kern w:val="0"/>
          <w:sz w:val="24"/>
          <w:szCs w:val="24"/>
          <w14:ligatures w14:val="none"/>
        </w:rPr>
      </w:pPr>
    </w:p>
    <w:sectPr w:rsidR="00482589" w:rsidRPr="00866F2B" w:rsidSect="00866F2B">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E1D98" w14:textId="77777777" w:rsidR="00153E8A" w:rsidRDefault="00153E8A" w:rsidP="00DD3A79">
      <w:pPr>
        <w:spacing w:line="240" w:lineRule="auto"/>
      </w:pPr>
      <w:r>
        <w:separator/>
      </w:r>
    </w:p>
  </w:endnote>
  <w:endnote w:type="continuationSeparator" w:id="0">
    <w:p w14:paraId="5F8FDEE8" w14:textId="77777777" w:rsidR="00153E8A" w:rsidRDefault="00153E8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38669" w14:textId="77777777" w:rsidR="00153E8A" w:rsidRDefault="00153E8A" w:rsidP="00DD3A79">
      <w:pPr>
        <w:spacing w:line="240" w:lineRule="auto"/>
      </w:pPr>
      <w:r>
        <w:separator/>
      </w:r>
    </w:p>
  </w:footnote>
  <w:footnote w:type="continuationSeparator" w:id="0">
    <w:p w14:paraId="3173DCE8" w14:textId="77777777" w:rsidR="00153E8A" w:rsidRDefault="00153E8A"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83EB" w14:textId="29EEAFCD" w:rsidR="00DD3A79" w:rsidRPr="00F350AC" w:rsidRDefault="00DD3A79" w:rsidP="00B76466">
    <w:pPr>
      <w:pStyle w:val="Header"/>
      <w:jc w:val="right"/>
      <w:rPr>
        <w:rFonts w:cs="Tahoma"/>
      </w:rPr>
    </w:pPr>
  </w:p>
  <w:p w14:paraId="4C14AF41"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BF29" w14:textId="60CE1BD3" w:rsidR="00AE07F0" w:rsidRPr="004274AA" w:rsidRDefault="001F0F77" w:rsidP="00AE07F0">
    <w:pPr>
      <w:pStyle w:val="Header"/>
      <w:jc w:val="right"/>
      <w:rPr>
        <w:rFonts w:ascii="Times New Roman" w:hAnsi="Times New Roman" w:cs="Times New Roman"/>
        <w:color w:val="A6A6A6" w:themeColor="background1" w:themeShade="A6"/>
        <w:sz w:val="20"/>
        <w:szCs w:val="20"/>
      </w:rPr>
    </w:pPr>
    <w:r>
      <w:rPr>
        <w:rFonts w:ascii="Times New Roman" w:hAnsi="Times New Roman" w:cs="Times New Roman"/>
        <w:color w:val="A6A6A6" w:themeColor="background1" w:themeShade="A6"/>
        <w:sz w:val="20"/>
        <w:szCs w:val="20"/>
      </w:rPr>
      <w:t>P</w:t>
    </w:r>
    <w:r w:rsidR="00AE07F0" w:rsidRPr="004274AA">
      <w:rPr>
        <w:rFonts w:ascii="Times New Roman" w:hAnsi="Times New Roman" w:cs="Times New Roman"/>
        <w:color w:val="A6A6A6" w:themeColor="background1" w:themeShade="A6"/>
        <w:sz w:val="20"/>
        <w:szCs w:val="20"/>
      </w:rPr>
      <w:t>irkimo sąlygų</w:t>
    </w:r>
    <w:r w:rsidR="004E61B5" w:rsidRPr="004274AA">
      <w:rPr>
        <w:rFonts w:ascii="Times New Roman" w:hAnsi="Times New Roman" w:cs="Times New Roman"/>
        <w:color w:val="A6A6A6" w:themeColor="background1" w:themeShade="A6"/>
        <w:sz w:val="20"/>
        <w:szCs w:val="20"/>
      </w:rPr>
      <w:t xml:space="preserve"> </w:t>
    </w:r>
    <w:r w:rsidR="00AE07F0" w:rsidRPr="004274AA">
      <w:rPr>
        <w:rFonts w:ascii="Times New Roman" w:hAnsi="Times New Roman" w:cs="Times New Roman"/>
        <w:color w:val="A6A6A6" w:themeColor="background1" w:themeShade="A6"/>
        <w:sz w:val="20"/>
        <w:szCs w:val="20"/>
      </w:rPr>
      <w:t>priedas</w:t>
    </w:r>
    <w:r w:rsidR="004274AA" w:rsidRPr="004274AA">
      <w:rPr>
        <w:rFonts w:ascii="Times New Roman" w:hAnsi="Times New Roman" w:cs="Times New Roman"/>
        <w:color w:val="A6A6A6" w:themeColor="background1" w:themeShade="A6"/>
        <w:sz w:val="20"/>
        <w:szCs w:val="20"/>
      </w:rPr>
      <w:t xml:space="preserve"> „Kokybės kriterijai ir jų vertinimas“</w:t>
    </w:r>
  </w:p>
  <w:p w14:paraId="1324C82E" w14:textId="77777777" w:rsidR="00AE07F0" w:rsidRDefault="00AE0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53A3A"/>
    <w:multiLevelType w:val="hybridMultilevel"/>
    <w:tmpl w:val="EB54AF04"/>
    <w:lvl w:ilvl="0" w:tplc="98E27C34">
      <w:start w:val="1"/>
      <w:numFmt w:val="decimal"/>
      <w:lvlText w:val="%1."/>
      <w:lvlJc w:val="left"/>
      <w:pPr>
        <w:ind w:left="1180" w:hanging="360"/>
      </w:pPr>
    </w:lvl>
    <w:lvl w:ilvl="1" w:tplc="69F095EE">
      <w:start w:val="1"/>
      <w:numFmt w:val="decimal"/>
      <w:lvlText w:val="%2."/>
      <w:lvlJc w:val="left"/>
      <w:pPr>
        <w:ind w:left="1180" w:hanging="360"/>
      </w:pPr>
    </w:lvl>
    <w:lvl w:ilvl="2" w:tplc="488470CA">
      <w:start w:val="1"/>
      <w:numFmt w:val="decimal"/>
      <w:lvlText w:val="%3."/>
      <w:lvlJc w:val="left"/>
      <w:pPr>
        <w:ind w:left="1180" w:hanging="360"/>
      </w:pPr>
    </w:lvl>
    <w:lvl w:ilvl="3" w:tplc="86F02C8E">
      <w:start w:val="1"/>
      <w:numFmt w:val="decimal"/>
      <w:lvlText w:val="%4."/>
      <w:lvlJc w:val="left"/>
      <w:pPr>
        <w:ind w:left="1180" w:hanging="360"/>
      </w:pPr>
    </w:lvl>
    <w:lvl w:ilvl="4" w:tplc="B5CAB5E2">
      <w:start w:val="1"/>
      <w:numFmt w:val="decimal"/>
      <w:lvlText w:val="%5."/>
      <w:lvlJc w:val="left"/>
      <w:pPr>
        <w:ind w:left="1180" w:hanging="360"/>
      </w:pPr>
    </w:lvl>
    <w:lvl w:ilvl="5" w:tplc="25C08E32">
      <w:start w:val="1"/>
      <w:numFmt w:val="decimal"/>
      <w:lvlText w:val="%6."/>
      <w:lvlJc w:val="left"/>
      <w:pPr>
        <w:ind w:left="1180" w:hanging="360"/>
      </w:pPr>
    </w:lvl>
    <w:lvl w:ilvl="6" w:tplc="8B8C0DA6">
      <w:start w:val="1"/>
      <w:numFmt w:val="decimal"/>
      <w:lvlText w:val="%7."/>
      <w:lvlJc w:val="left"/>
      <w:pPr>
        <w:ind w:left="1180" w:hanging="360"/>
      </w:pPr>
    </w:lvl>
    <w:lvl w:ilvl="7" w:tplc="0FBAA7BE">
      <w:start w:val="1"/>
      <w:numFmt w:val="decimal"/>
      <w:lvlText w:val="%8."/>
      <w:lvlJc w:val="left"/>
      <w:pPr>
        <w:ind w:left="1180" w:hanging="360"/>
      </w:pPr>
    </w:lvl>
    <w:lvl w:ilvl="8" w:tplc="BD6C6BFA">
      <w:start w:val="1"/>
      <w:numFmt w:val="decimal"/>
      <w:lvlText w:val="%9."/>
      <w:lvlJc w:val="left"/>
      <w:pPr>
        <w:ind w:left="1180" w:hanging="360"/>
      </w:pPr>
    </w:lvl>
  </w:abstractNum>
  <w:abstractNum w:abstractNumId="1" w15:restartNumberingAfterBreak="0">
    <w:nsid w:val="0D582BF6"/>
    <w:multiLevelType w:val="multilevel"/>
    <w:tmpl w:val="01741D08"/>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374B7D"/>
    <w:multiLevelType w:val="hybridMultilevel"/>
    <w:tmpl w:val="DEC81C42"/>
    <w:lvl w:ilvl="0" w:tplc="6F6038B6">
      <w:start w:val="1"/>
      <w:numFmt w:val="decimal"/>
      <w:lvlText w:val="%1."/>
      <w:lvlJc w:val="left"/>
      <w:pPr>
        <w:ind w:left="6570" w:hanging="360"/>
      </w:pPr>
      <w:rPr>
        <w:rFonts w:hint="default"/>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DB75F5"/>
    <w:multiLevelType w:val="hybridMultilevel"/>
    <w:tmpl w:val="F48C42E0"/>
    <w:lvl w:ilvl="0" w:tplc="F376A1F2">
      <w:start w:val="2"/>
      <w:numFmt w:val="decimal"/>
      <w:lvlText w:val="%1."/>
      <w:lvlJc w:val="left"/>
      <w:pPr>
        <w:ind w:left="720" w:hanging="360"/>
      </w:pPr>
      <w:rPr>
        <w:rFonts w:hint="default"/>
        <w:b/>
        <w:i w:val="0"/>
      </w:rPr>
    </w:lvl>
    <w:lvl w:ilvl="1" w:tplc="FCF03F56">
      <w:start w:val="1"/>
      <w:numFmt w:val="lowerLetter"/>
      <w:lvlText w:val="%2."/>
      <w:lvlJc w:val="left"/>
      <w:pPr>
        <w:ind w:left="360" w:hanging="360"/>
      </w:pPr>
      <w:rPr>
        <w:rFonts w:ascii="Times New Roman" w:hAnsi="Times New Roman" w:cs="Times New Roman" w:hint="default"/>
        <w:i w:val="0"/>
        <w:i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4650A2"/>
    <w:multiLevelType w:val="hybridMultilevel"/>
    <w:tmpl w:val="79E6EB78"/>
    <w:lvl w:ilvl="0" w:tplc="0427000F">
      <w:start w:val="1"/>
      <w:numFmt w:val="decimal"/>
      <w:lvlText w:val="%1."/>
      <w:lvlJc w:val="left"/>
      <w:pPr>
        <w:ind w:left="75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5046857"/>
    <w:multiLevelType w:val="hybridMultilevel"/>
    <w:tmpl w:val="5A5CFC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43205676">
    <w:abstractNumId w:val="1"/>
  </w:num>
  <w:num w:numId="2" w16cid:durableId="1988901249">
    <w:abstractNumId w:val="4"/>
  </w:num>
  <w:num w:numId="3" w16cid:durableId="1251885278">
    <w:abstractNumId w:val="2"/>
  </w:num>
  <w:num w:numId="4" w16cid:durableId="790246229">
    <w:abstractNumId w:val="5"/>
  </w:num>
  <w:num w:numId="5" w16cid:durableId="917908460">
    <w:abstractNumId w:val="3"/>
  </w:num>
  <w:num w:numId="6" w16cid:durableId="2046249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9D0"/>
    <w:rsid w:val="000A107A"/>
    <w:rsid w:val="000F44DD"/>
    <w:rsid w:val="001043C2"/>
    <w:rsid w:val="0012577F"/>
    <w:rsid w:val="00153E8A"/>
    <w:rsid w:val="0015565A"/>
    <w:rsid w:val="00174503"/>
    <w:rsid w:val="001759BB"/>
    <w:rsid w:val="001D2FFD"/>
    <w:rsid w:val="001F007D"/>
    <w:rsid w:val="001F0F77"/>
    <w:rsid w:val="002049D0"/>
    <w:rsid w:val="0021260F"/>
    <w:rsid w:val="00280397"/>
    <w:rsid w:val="002A7375"/>
    <w:rsid w:val="002C5BA4"/>
    <w:rsid w:val="003666A3"/>
    <w:rsid w:val="003870DE"/>
    <w:rsid w:val="003C56BB"/>
    <w:rsid w:val="003E48E6"/>
    <w:rsid w:val="004274AA"/>
    <w:rsid w:val="00442078"/>
    <w:rsid w:val="00443EB7"/>
    <w:rsid w:val="00482589"/>
    <w:rsid w:val="004919F9"/>
    <w:rsid w:val="004E61B5"/>
    <w:rsid w:val="0055036A"/>
    <w:rsid w:val="005F4CD5"/>
    <w:rsid w:val="00623605"/>
    <w:rsid w:val="006357ED"/>
    <w:rsid w:val="00672D56"/>
    <w:rsid w:val="006A1C9C"/>
    <w:rsid w:val="006D5CD1"/>
    <w:rsid w:val="006D660D"/>
    <w:rsid w:val="00731A6E"/>
    <w:rsid w:val="007A344F"/>
    <w:rsid w:val="007A58DD"/>
    <w:rsid w:val="00803273"/>
    <w:rsid w:val="00820184"/>
    <w:rsid w:val="008435F7"/>
    <w:rsid w:val="00866F2B"/>
    <w:rsid w:val="008E0718"/>
    <w:rsid w:val="00903B24"/>
    <w:rsid w:val="00984223"/>
    <w:rsid w:val="009B2BFA"/>
    <w:rsid w:val="00A114CA"/>
    <w:rsid w:val="00A11603"/>
    <w:rsid w:val="00A43984"/>
    <w:rsid w:val="00AB57A3"/>
    <w:rsid w:val="00AD47F0"/>
    <w:rsid w:val="00AE07F0"/>
    <w:rsid w:val="00AE7701"/>
    <w:rsid w:val="00AF4103"/>
    <w:rsid w:val="00B26C10"/>
    <w:rsid w:val="00B5012F"/>
    <w:rsid w:val="00B76466"/>
    <w:rsid w:val="00B955D8"/>
    <w:rsid w:val="00BA3C86"/>
    <w:rsid w:val="00BC397B"/>
    <w:rsid w:val="00C536E9"/>
    <w:rsid w:val="00C851A0"/>
    <w:rsid w:val="00CA4718"/>
    <w:rsid w:val="00D93391"/>
    <w:rsid w:val="00DD3A79"/>
    <w:rsid w:val="00E4114A"/>
    <w:rsid w:val="00E768A4"/>
    <w:rsid w:val="00EA1F43"/>
    <w:rsid w:val="00EC2ED5"/>
    <w:rsid w:val="00ED5806"/>
    <w:rsid w:val="00F03118"/>
    <w:rsid w:val="00F250A3"/>
    <w:rsid w:val="00F350AC"/>
    <w:rsid w:val="00F42C9B"/>
    <w:rsid w:val="00F659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E7179"/>
  <w15:chartTrackingRefBased/>
  <w15:docId w15:val="{B32F63DE-5BCF-4362-BFB7-06FB7D4A6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2049D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049D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049D0"/>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049D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049D0"/>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2049D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049D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049D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049D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049D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049D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049D0"/>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049D0"/>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049D0"/>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049D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049D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049D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049D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049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49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49D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49D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049D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049D0"/>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qFormat/>
    <w:rsid w:val="002049D0"/>
    <w:pPr>
      <w:ind w:left="720"/>
      <w:contextualSpacing/>
    </w:pPr>
  </w:style>
  <w:style w:type="character" w:styleId="IntenseEmphasis">
    <w:name w:val="Intense Emphasis"/>
    <w:basedOn w:val="DefaultParagraphFont"/>
    <w:uiPriority w:val="21"/>
    <w:qFormat/>
    <w:rsid w:val="002049D0"/>
    <w:rPr>
      <w:i/>
      <w:iCs/>
      <w:color w:val="2E74B5" w:themeColor="accent1" w:themeShade="BF"/>
    </w:rPr>
  </w:style>
  <w:style w:type="paragraph" w:styleId="IntenseQuote">
    <w:name w:val="Intense Quote"/>
    <w:basedOn w:val="Normal"/>
    <w:next w:val="Normal"/>
    <w:link w:val="IntenseQuoteChar"/>
    <w:uiPriority w:val="30"/>
    <w:qFormat/>
    <w:rsid w:val="002049D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049D0"/>
    <w:rPr>
      <w:i/>
      <w:iCs/>
      <w:color w:val="2E74B5" w:themeColor="accent1" w:themeShade="BF"/>
    </w:rPr>
  </w:style>
  <w:style w:type="character" w:styleId="IntenseReference">
    <w:name w:val="Intense Reference"/>
    <w:basedOn w:val="DefaultParagraphFont"/>
    <w:uiPriority w:val="32"/>
    <w:qFormat/>
    <w:rsid w:val="002049D0"/>
    <w:rPr>
      <w:b/>
      <w:bCs/>
      <w:smallCaps/>
      <w:color w:val="2E74B5" w:themeColor="accent1" w:themeShade="BF"/>
      <w:spacing w:val="5"/>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B955D8"/>
  </w:style>
  <w:style w:type="character" w:styleId="CommentReference">
    <w:name w:val="annotation reference"/>
    <w:basedOn w:val="DefaultParagraphFont"/>
    <w:uiPriority w:val="99"/>
    <w:semiHidden/>
    <w:unhideWhenUsed/>
    <w:rsid w:val="00B955D8"/>
    <w:rPr>
      <w:sz w:val="16"/>
      <w:szCs w:val="16"/>
    </w:rPr>
  </w:style>
  <w:style w:type="paragraph" w:styleId="CommentText">
    <w:name w:val="annotation text"/>
    <w:basedOn w:val="Normal"/>
    <w:link w:val="CommentTextChar"/>
    <w:uiPriority w:val="99"/>
    <w:unhideWhenUsed/>
    <w:rsid w:val="00B955D8"/>
    <w:pPr>
      <w:spacing w:line="240" w:lineRule="auto"/>
    </w:pPr>
    <w:rPr>
      <w:sz w:val="20"/>
      <w:szCs w:val="20"/>
    </w:rPr>
  </w:style>
  <w:style w:type="character" w:customStyle="1" w:styleId="CommentTextChar">
    <w:name w:val="Comment Text Char"/>
    <w:basedOn w:val="DefaultParagraphFont"/>
    <w:link w:val="CommentText"/>
    <w:uiPriority w:val="99"/>
    <w:rsid w:val="00B955D8"/>
    <w:rPr>
      <w:sz w:val="20"/>
      <w:szCs w:val="20"/>
    </w:rPr>
  </w:style>
  <w:style w:type="paragraph" w:styleId="CommentSubject">
    <w:name w:val="annotation subject"/>
    <w:basedOn w:val="CommentText"/>
    <w:next w:val="CommentText"/>
    <w:link w:val="CommentSubjectChar"/>
    <w:uiPriority w:val="99"/>
    <w:semiHidden/>
    <w:unhideWhenUsed/>
    <w:rsid w:val="00B955D8"/>
    <w:rPr>
      <w:b/>
      <w:bCs/>
    </w:rPr>
  </w:style>
  <w:style w:type="character" w:customStyle="1" w:styleId="CommentSubjectChar">
    <w:name w:val="Comment Subject Char"/>
    <w:basedOn w:val="CommentTextChar"/>
    <w:link w:val="CommentSubject"/>
    <w:uiPriority w:val="99"/>
    <w:semiHidden/>
    <w:rsid w:val="00B955D8"/>
    <w:rPr>
      <w:b/>
      <w:bCs/>
      <w:sz w:val="20"/>
      <w:szCs w:val="20"/>
    </w:rPr>
  </w:style>
  <w:style w:type="paragraph" w:styleId="Revision">
    <w:name w:val="Revision"/>
    <w:hidden/>
    <w:uiPriority w:val="99"/>
    <w:semiHidden/>
    <w:rsid w:val="003666A3"/>
    <w:pPr>
      <w:spacing w:line="240" w:lineRule="auto"/>
      <w:ind w:firstLine="0"/>
    </w:pPr>
  </w:style>
  <w:style w:type="character" w:styleId="Hyperlink">
    <w:name w:val="Hyperlink"/>
    <w:basedOn w:val="DefaultParagraphFont"/>
    <w:uiPriority w:val="99"/>
    <w:unhideWhenUsed/>
    <w:rsid w:val="00866F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Milda Viteikienė</cp:lastModifiedBy>
  <cp:revision>16</cp:revision>
  <dcterms:created xsi:type="dcterms:W3CDTF">2025-07-21T13:36:00Z</dcterms:created>
  <dcterms:modified xsi:type="dcterms:W3CDTF">2026-03-25T09:42:00Z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2025-05-26T07:58:49Z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25d86f8f-6abd-499a-8239-3158056c2564</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